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D02BB" w14:textId="6040137A" w:rsidR="00E94869" w:rsidRPr="00012745" w:rsidRDefault="00E94869" w:rsidP="00012745">
      <w:pPr>
        <w:jc w:val="center"/>
        <w:rPr>
          <w:b/>
          <w:bCs/>
          <w:sz w:val="32"/>
          <w:szCs w:val="32"/>
          <w:lang w:val="de-AT"/>
        </w:rPr>
      </w:pPr>
      <w:r w:rsidRPr="00012745">
        <w:rPr>
          <w:b/>
          <w:bCs/>
          <w:sz w:val="32"/>
          <w:szCs w:val="32"/>
          <w:lang w:val="de-AT"/>
        </w:rPr>
        <w:t>Fächerübergreifende</w:t>
      </w:r>
      <w:r w:rsidR="00BB5A8B">
        <w:rPr>
          <w:b/>
          <w:bCs/>
          <w:sz w:val="32"/>
          <w:szCs w:val="32"/>
          <w:lang w:val="de-AT"/>
        </w:rPr>
        <w:t>s</w:t>
      </w:r>
      <w:r w:rsidRPr="00012745">
        <w:rPr>
          <w:b/>
          <w:bCs/>
          <w:sz w:val="32"/>
          <w:szCs w:val="32"/>
          <w:lang w:val="de-AT"/>
        </w:rPr>
        <w:t xml:space="preserve"> Unterrichtskonzept ENWS – MAM</w:t>
      </w:r>
      <w:r w:rsidR="00BB5A8B">
        <w:rPr>
          <w:b/>
          <w:bCs/>
          <w:sz w:val="32"/>
          <w:szCs w:val="32"/>
          <w:lang w:val="de-AT"/>
        </w:rPr>
        <w:t xml:space="preserve"> 1</w:t>
      </w:r>
    </w:p>
    <w:p w14:paraId="5D13CC9F" w14:textId="67568ADE" w:rsidR="00E94869" w:rsidRPr="00012745" w:rsidRDefault="00E94869">
      <w:pPr>
        <w:rPr>
          <w:b/>
          <w:bCs/>
          <w:sz w:val="28"/>
          <w:szCs w:val="28"/>
          <w:u w:val="single"/>
          <w:lang w:val="de-AT"/>
        </w:rPr>
      </w:pPr>
      <w:r w:rsidRPr="00012745">
        <w:rPr>
          <w:b/>
          <w:bCs/>
          <w:sz w:val="28"/>
          <w:szCs w:val="28"/>
          <w:u w:val="single"/>
          <w:lang w:val="de-AT"/>
        </w:rPr>
        <w:t xml:space="preserve">1. </w:t>
      </w:r>
      <w:r w:rsidR="003F1605">
        <w:rPr>
          <w:b/>
          <w:bCs/>
          <w:sz w:val="28"/>
          <w:szCs w:val="28"/>
          <w:u w:val="single"/>
          <w:lang w:val="de-AT"/>
        </w:rPr>
        <w:t xml:space="preserve">Konzept: </w:t>
      </w:r>
      <w:proofErr w:type="spellStart"/>
      <w:r w:rsidRPr="00012745">
        <w:rPr>
          <w:b/>
          <w:bCs/>
          <w:sz w:val="28"/>
          <w:szCs w:val="28"/>
          <w:u w:val="single"/>
          <w:lang w:val="de-AT"/>
        </w:rPr>
        <w:t>comparison</w:t>
      </w:r>
      <w:proofErr w:type="spellEnd"/>
      <w:r w:rsidRPr="00012745">
        <w:rPr>
          <w:b/>
          <w:bCs/>
          <w:sz w:val="28"/>
          <w:szCs w:val="28"/>
          <w:u w:val="single"/>
          <w:lang w:val="de-AT"/>
        </w:rPr>
        <w:t xml:space="preserve"> </w:t>
      </w:r>
      <w:proofErr w:type="spellStart"/>
      <w:r w:rsidRPr="00012745">
        <w:rPr>
          <w:b/>
          <w:bCs/>
          <w:sz w:val="28"/>
          <w:szCs w:val="28"/>
          <w:u w:val="single"/>
          <w:lang w:val="de-AT"/>
        </w:rPr>
        <w:t>of</w:t>
      </w:r>
      <w:proofErr w:type="spellEnd"/>
      <w:r w:rsidRPr="00012745">
        <w:rPr>
          <w:b/>
          <w:bCs/>
          <w:sz w:val="28"/>
          <w:szCs w:val="28"/>
          <w:u w:val="single"/>
          <w:lang w:val="de-AT"/>
        </w:rPr>
        <w:t xml:space="preserve"> </w:t>
      </w:r>
      <w:proofErr w:type="spellStart"/>
      <w:r w:rsidRPr="00012745">
        <w:rPr>
          <w:b/>
          <w:bCs/>
          <w:sz w:val="28"/>
          <w:szCs w:val="28"/>
          <w:u w:val="single"/>
          <w:lang w:val="de-AT"/>
        </w:rPr>
        <w:t>adjectives</w:t>
      </w:r>
      <w:proofErr w:type="spellEnd"/>
      <w:r w:rsidRPr="00012745">
        <w:rPr>
          <w:b/>
          <w:bCs/>
          <w:sz w:val="28"/>
          <w:szCs w:val="28"/>
          <w:u w:val="single"/>
          <w:lang w:val="de-AT"/>
        </w:rPr>
        <w:t xml:space="preserve"> – Ungleichungen</w:t>
      </w:r>
    </w:p>
    <w:p w14:paraId="3A8BBD3F" w14:textId="7B994CC3" w:rsidR="00E94869" w:rsidRDefault="00BF0BE8">
      <w:pPr>
        <w:rPr>
          <w:lang w:val="de-AT"/>
        </w:rPr>
      </w:pPr>
      <w:r>
        <w:rPr>
          <w:lang w:val="de-AT"/>
        </w:rPr>
        <w:t>Schulstufe: 9 (1. HAK)</w:t>
      </w:r>
    </w:p>
    <w:p w14:paraId="6BA48605" w14:textId="7879CB97" w:rsidR="00147497" w:rsidRDefault="00DC07DE">
      <w:pPr>
        <w:rPr>
          <w:lang w:val="de-AT"/>
        </w:rPr>
      </w:pPr>
      <w:r>
        <w:rPr>
          <w:lang w:val="de-AT"/>
        </w:rPr>
        <w:t>Voraussetzungen</w:t>
      </w:r>
      <w:r w:rsidR="00147497">
        <w:rPr>
          <w:lang w:val="de-AT"/>
        </w:rPr>
        <w:t xml:space="preserve">: </w:t>
      </w:r>
      <w:r w:rsidR="003F3902">
        <w:rPr>
          <w:lang w:val="de-AT"/>
        </w:rPr>
        <w:t>Um die Stunde so umsetzen zu können, wie hier beschrieben, m</w:t>
      </w:r>
      <w:r w:rsidR="00834843">
        <w:rPr>
          <w:lang w:val="de-AT"/>
        </w:rPr>
        <w:t xml:space="preserve">üssen bestimmte Voraussetzungen erfüllt sein. Beide Themen, </w:t>
      </w:r>
      <w:proofErr w:type="spellStart"/>
      <w:r w:rsidR="00834843">
        <w:rPr>
          <w:lang w:val="de-AT"/>
        </w:rPr>
        <w:t>compar</w:t>
      </w:r>
      <w:r w:rsidR="00327C1F">
        <w:rPr>
          <w:lang w:val="de-AT"/>
        </w:rPr>
        <w:t>ison</w:t>
      </w:r>
      <w:proofErr w:type="spellEnd"/>
      <w:r w:rsidR="00327C1F">
        <w:rPr>
          <w:lang w:val="de-AT"/>
        </w:rPr>
        <w:t xml:space="preserve"> </w:t>
      </w:r>
      <w:proofErr w:type="spellStart"/>
      <w:r w:rsidR="00327C1F">
        <w:rPr>
          <w:lang w:val="de-AT"/>
        </w:rPr>
        <w:t>of</w:t>
      </w:r>
      <w:proofErr w:type="spellEnd"/>
      <w:r w:rsidR="00327C1F">
        <w:rPr>
          <w:lang w:val="de-AT"/>
        </w:rPr>
        <w:t xml:space="preserve"> </w:t>
      </w:r>
      <w:proofErr w:type="spellStart"/>
      <w:r w:rsidR="00327C1F">
        <w:rPr>
          <w:lang w:val="de-AT"/>
        </w:rPr>
        <w:t>adjectives</w:t>
      </w:r>
      <w:proofErr w:type="spellEnd"/>
      <w:r w:rsidR="00327C1F">
        <w:rPr>
          <w:lang w:val="de-AT"/>
        </w:rPr>
        <w:t xml:space="preserve"> (Steigerung von Adjektiven) und Ungleichungen müssen in den jeweiligen Fächern, Englisch und Mathematik, bereits eingeführt und geübt worden sein. Dieses Unterrichtskonzept</w:t>
      </w:r>
      <w:r>
        <w:rPr>
          <w:lang w:val="de-AT"/>
        </w:rPr>
        <w:t xml:space="preserve"> verlangt, dass Schülerinnen und Schüler (</w:t>
      </w:r>
      <w:r w:rsidR="003328A8">
        <w:rPr>
          <w:lang w:val="de-AT"/>
        </w:rPr>
        <w:t>in Folge kurz „</w:t>
      </w:r>
      <w:proofErr w:type="spellStart"/>
      <w:r w:rsidR="003328A8">
        <w:rPr>
          <w:lang w:val="de-AT"/>
        </w:rPr>
        <w:t>SuS</w:t>
      </w:r>
      <w:proofErr w:type="spellEnd"/>
      <w:r w:rsidR="003328A8">
        <w:rPr>
          <w:lang w:val="de-AT"/>
        </w:rPr>
        <w:t xml:space="preserve">“) beide </w:t>
      </w:r>
      <w:r w:rsidR="00F65384">
        <w:rPr>
          <w:lang w:val="de-AT"/>
        </w:rPr>
        <w:t>Themen bereits kennen, sodass man sich in dieser Unterrichtseinheit</w:t>
      </w:r>
      <w:r w:rsidR="00B23F28">
        <w:rPr>
          <w:lang w:val="de-AT"/>
        </w:rPr>
        <w:t>, mithilfe nur kurzer Wiederholung,</w:t>
      </w:r>
      <w:r w:rsidR="00F65384">
        <w:rPr>
          <w:lang w:val="de-AT"/>
        </w:rPr>
        <w:t xml:space="preserve"> auf die Überschneidung der Gebiete fokussieren kann.</w:t>
      </w:r>
    </w:p>
    <w:p w14:paraId="0100EBD5" w14:textId="5B67186E" w:rsidR="00E94869" w:rsidRDefault="00987102">
      <w:pPr>
        <w:rPr>
          <w:lang w:val="de-AT"/>
        </w:rPr>
      </w:pPr>
      <w:r>
        <w:rPr>
          <w:lang w:val="de-AT"/>
        </w:rPr>
        <w:t>Stundenbild (</w:t>
      </w:r>
      <w:r w:rsidR="00047551">
        <w:rPr>
          <w:lang w:val="de-AT"/>
        </w:rPr>
        <w:t>50 min):</w:t>
      </w:r>
    </w:p>
    <w:tbl>
      <w:tblPr>
        <w:tblStyle w:val="Gitternetztabelle4Akzent3"/>
        <w:tblW w:w="0" w:type="auto"/>
        <w:tblLook w:val="04A0" w:firstRow="1" w:lastRow="0" w:firstColumn="1" w:lastColumn="0" w:noHBand="0" w:noVBand="1"/>
      </w:tblPr>
      <w:tblGrid>
        <w:gridCol w:w="693"/>
        <w:gridCol w:w="3129"/>
        <w:gridCol w:w="990"/>
        <w:gridCol w:w="1762"/>
        <w:gridCol w:w="2442"/>
      </w:tblGrid>
      <w:tr w:rsidR="00C1334C" w14:paraId="3CAEB4C2" w14:textId="77777777" w:rsidTr="003573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09AA3278" w14:textId="6248451E" w:rsidR="003C6886" w:rsidRDefault="003C6886" w:rsidP="007B3D44">
            <w:pPr>
              <w:spacing w:line="276" w:lineRule="auto"/>
              <w:rPr>
                <w:lang w:val="de-AT"/>
              </w:rPr>
            </w:pPr>
            <w:r>
              <w:rPr>
                <w:lang w:val="de-AT"/>
              </w:rPr>
              <w:t xml:space="preserve">Zeit </w:t>
            </w:r>
            <w:r w:rsidRPr="00B605E3">
              <w:rPr>
                <w:b w:val="0"/>
                <w:bCs w:val="0"/>
                <w:lang w:val="de-AT"/>
              </w:rPr>
              <w:t>min</w:t>
            </w:r>
          </w:p>
        </w:tc>
        <w:tc>
          <w:tcPr>
            <w:tcW w:w="3399" w:type="dxa"/>
          </w:tcPr>
          <w:p w14:paraId="615EE37C" w14:textId="77777777" w:rsidR="003C6886" w:rsidRDefault="003C6886" w:rsidP="007B3D4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AT"/>
              </w:rPr>
            </w:pPr>
            <w:r>
              <w:rPr>
                <w:lang w:val="de-AT"/>
              </w:rPr>
              <w:t>Einheit</w:t>
            </w:r>
          </w:p>
        </w:tc>
        <w:tc>
          <w:tcPr>
            <w:tcW w:w="999" w:type="dxa"/>
          </w:tcPr>
          <w:p w14:paraId="1049E73D" w14:textId="674CB4D4" w:rsidR="003C6886" w:rsidRDefault="003C6886" w:rsidP="007B3D4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AT"/>
              </w:rPr>
            </w:pPr>
            <w:r>
              <w:rPr>
                <w:lang w:val="de-AT"/>
              </w:rPr>
              <w:t>Sozial</w:t>
            </w:r>
            <w:r w:rsidR="00830BAF">
              <w:rPr>
                <w:lang w:val="de-AT"/>
              </w:rPr>
              <w:t>-</w:t>
            </w:r>
            <w:r>
              <w:rPr>
                <w:lang w:val="de-AT"/>
              </w:rPr>
              <w:t>form</w:t>
            </w:r>
          </w:p>
        </w:tc>
        <w:tc>
          <w:tcPr>
            <w:tcW w:w="1762" w:type="dxa"/>
          </w:tcPr>
          <w:p w14:paraId="7E38C4CE" w14:textId="77777777" w:rsidR="003C6886" w:rsidRDefault="003C6886" w:rsidP="007B3D4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AT"/>
              </w:rPr>
            </w:pPr>
            <w:r>
              <w:rPr>
                <w:lang w:val="de-AT"/>
              </w:rPr>
              <w:t>Materialien</w:t>
            </w:r>
          </w:p>
        </w:tc>
        <w:tc>
          <w:tcPr>
            <w:tcW w:w="2149" w:type="dxa"/>
          </w:tcPr>
          <w:p w14:paraId="62E31522" w14:textId="77777777" w:rsidR="003C6886" w:rsidRDefault="003C6886" w:rsidP="007B3D4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AT"/>
              </w:rPr>
            </w:pPr>
            <w:r>
              <w:rPr>
                <w:lang w:val="de-AT"/>
              </w:rPr>
              <w:t>Notizen</w:t>
            </w:r>
          </w:p>
        </w:tc>
      </w:tr>
      <w:tr w:rsidR="00C1334C" w:rsidRPr="003364CD" w14:paraId="009CFD0E" w14:textId="77777777" w:rsidTr="00357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1559568A" w14:textId="3DEF8808" w:rsidR="003C6886" w:rsidRDefault="00A85F75" w:rsidP="007B3D44">
            <w:pPr>
              <w:spacing w:line="276" w:lineRule="auto"/>
              <w:rPr>
                <w:lang w:val="de-AT"/>
              </w:rPr>
            </w:pPr>
            <w:r>
              <w:rPr>
                <w:lang w:val="de-AT"/>
              </w:rPr>
              <w:t>3</w:t>
            </w:r>
          </w:p>
        </w:tc>
        <w:tc>
          <w:tcPr>
            <w:tcW w:w="3399" w:type="dxa"/>
          </w:tcPr>
          <w:p w14:paraId="4B83BE65" w14:textId="333E11DD" w:rsidR="003C6886" w:rsidRPr="003364CD" w:rsidRDefault="000A5627" w:rsidP="007B3D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3364CD">
              <w:rPr>
                <w:lang w:val="de-DE"/>
              </w:rPr>
              <w:t xml:space="preserve">WH </w:t>
            </w:r>
            <w:proofErr w:type="spellStart"/>
            <w:r w:rsidRPr="003364CD">
              <w:rPr>
                <w:lang w:val="de-DE"/>
              </w:rPr>
              <w:t>comparison</w:t>
            </w:r>
            <w:proofErr w:type="spellEnd"/>
            <w:r w:rsidRPr="003364CD">
              <w:rPr>
                <w:lang w:val="de-DE"/>
              </w:rPr>
              <w:t xml:space="preserve"> </w:t>
            </w:r>
            <w:proofErr w:type="spellStart"/>
            <w:r w:rsidRPr="003364CD">
              <w:rPr>
                <w:lang w:val="de-DE"/>
              </w:rPr>
              <w:t>of</w:t>
            </w:r>
            <w:proofErr w:type="spellEnd"/>
            <w:r w:rsidRPr="003364CD">
              <w:rPr>
                <w:lang w:val="de-DE"/>
              </w:rPr>
              <w:t xml:space="preserve"> </w:t>
            </w:r>
            <w:proofErr w:type="spellStart"/>
            <w:r w:rsidRPr="003364CD">
              <w:rPr>
                <w:lang w:val="de-DE"/>
              </w:rPr>
              <w:t>adjectives</w:t>
            </w:r>
            <w:proofErr w:type="spellEnd"/>
            <w:r w:rsidRPr="003364CD">
              <w:rPr>
                <w:lang w:val="de-DE"/>
              </w:rPr>
              <w:t xml:space="preserve">: </w:t>
            </w:r>
            <w:r w:rsidR="00231771">
              <w:rPr>
                <w:lang w:val="de-DE"/>
              </w:rPr>
              <w:t xml:space="preserve">Kurze mündliche Aktivierung (Erinnerung) </w:t>
            </w:r>
            <w:r w:rsidR="00DC0F37">
              <w:rPr>
                <w:lang w:val="de-DE"/>
              </w:rPr>
              <w:t xml:space="preserve">was </w:t>
            </w:r>
            <w:proofErr w:type="spellStart"/>
            <w:r w:rsidR="00DC0F37">
              <w:rPr>
                <w:lang w:val="de-DE"/>
              </w:rPr>
              <w:t>comparatives</w:t>
            </w:r>
            <w:proofErr w:type="spellEnd"/>
            <w:r w:rsidR="00DC0F37">
              <w:rPr>
                <w:lang w:val="de-DE"/>
              </w:rPr>
              <w:t xml:space="preserve"> und </w:t>
            </w:r>
            <w:proofErr w:type="spellStart"/>
            <w:r w:rsidR="00DC0F37">
              <w:rPr>
                <w:lang w:val="de-DE"/>
              </w:rPr>
              <w:t>superlatives</w:t>
            </w:r>
            <w:proofErr w:type="spellEnd"/>
            <w:r w:rsidR="00DC0F37">
              <w:rPr>
                <w:lang w:val="de-DE"/>
              </w:rPr>
              <w:t xml:space="preserve"> (und Adjektive) sind</w:t>
            </w:r>
            <w:r w:rsidR="00175FEF">
              <w:rPr>
                <w:lang w:val="de-DE"/>
              </w:rPr>
              <w:t>, und wie man sie steigern kann</w:t>
            </w:r>
            <w:r w:rsidR="00DC0F37">
              <w:rPr>
                <w:lang w:val="de-DE"/>
              </w:rPr>
              <w:t>.</w:t>
            </w:r>
          </w:p>
        </w:tc>
        <w:tc>
          <w:tcPr>
            <w:tcW w:w="999" w:type="dxa"/>
          </w:tcPr>
          <w:p w14:paraId="182C1604" w14:textId="27F76B7D" w:rsidR="003C6886" w:rsidRPr="003364CD" w:rsidRDefault="003B6654" w:rsidP="007B3D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L-S</w:t>
            </w:r>
          </w:p>
        </w:tc>
        <w:tc>
          <w:tcPr>
            <w:tcW w:w="1762" w:type="dxa"/>
          </w:tcPr>
          <w:p w14:paraId="6E554B73" w14:textId="7AFCE54D" w:rsidR="003C6886" w:rsidRPr="003364CD" w:rsidRDefault="00E679DF" w:rsidP="007B3D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Whiteboard</w:t>
            </w:r>
          </w:p>
        </w:tc>
        <w:tc>
          <w:tcPr>
            <w:tcW w:w="2149" w:type="dxa"/>
          </w:tcPr>
          <w:p w14:paraId="593C7D3A" w14:textId="43303074" w:rsidR="003C6886" w:rsidRPr="003364CD" w:rsidRDefault="003C6886" w:rsidP="007B3D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C1334C" w:rsidRPr="00BB5A8B" w14:paraId="18EF7052" w14:textId="77777777" w:rsidTr="00357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21A4B38A" w14:textId="799D47CA" w:rsidR="003C6886" w:rsidRPr="003364CD" w:rsidRDefault="00DF692D" w:rsidP="007B3D44">
            <w:pPr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>1</w:t>
            </w:r>
            <w:r w:rsidR="001356EC">
              <w:rPr>
                <w:lang w:val="de-DE"/>
              </w:rPr>
              <w:t>0</w:t>
            </w:r>
          </w:p>
        </w:tc>
        <w:tc>
          <w:tcPr>
            <w:tcW w:w="3399" w:type="dxa"/>
          </w:tcPr>
          <w:p w14:paraId="3A9A0E20" w14:textId="05ABF27E" w:rsidR="003C6886" w:rsidRPr="003364CD" w:rsidRDefault="00231771" w:rsidP="007B3D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3364CD">
              <w:rPr>
                <w:lang w:val="de-DE"/>
              </w:rPr>
              <w:t>SuS</w:t>
            </w:r>
            <w:proofErr w:type="spellEnd"/>
            <w:r w:rsidRPr="003364CD">
              <w:rPr>
                <w:lang w:val="de-DE"/>
              </w:rPr>
              <w:t xml:space="preserve"> bearbeiten d</w:t>
            </w:r>
            <w:r w:rsidR="00556D98">
              <w:rPr>
                <w:lang w:val="de-DE"/>
              </w:rPr>
              <w:t>ie Aufgaben 2 &amp; 3 des</w:t>
            </w:r>
            <w:r w:rsidRPr="003364CD">
              <w:rPr>
                <w:lang w:val="de-DE"/>
              </w:rPr>
              <w:t xml:space="preserve"> Handout</w:t>
            </w:r>
            <w:r w:rsidR="00556D98">
              <w:rPr>
                <w:lang w:val="de-DE"/>
              </w:rPr>
              <w:t>s</w:t>
            </w:r>
            <w:r w:rsidRPr="003364CD">
              <w:rPr>
                <w:lang w:val="de-DE"/>
              </w:rPr>
              <w:t xml:space="preserve"> in Paaren </w:t>
            </w:r>
            <w:r>
              <w:rPr>
                <w:lang w:val="de-DE"/>
              </w:rPr>
              <w:t>oder kleinen Gruppen und wiederholen dabei die drei Arten Adjektive zu steigern.</w:t>
            </w:r>
          </w:p>
        </w:tc>
        <w:tc>
          <w:tcPr>
            <w:tcW w:w="999" w:type="dxa"/>
          </w:tcPr>
          <w:p w14:paraId="431CB086" w14:textId="1BDC2B0D" w:rsidR="003C6886" w:rsidRPr="003364CD" w:rsidRDefault="003B6654" w:rsidP="007B3D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S2-S4</w:t>
            </w:r>
          </w:p>
        </w:tc>
        <w:tc>
          <w:tcPr>
            <w:tcW w:w="1762" w:type="dxa"/>
          </w:tcPr>
          <w:p w14:paraId="04DB67FB" w14:textId="3A03C58A" w:rsidR="003C6886" w:rsidRPr="003364CD" w:rsidRDefault="003B6654" w:rsidP="007B3D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Handout „</w:t>
            </w:r>
            <w:proofErr w:type="spellStart"/>
            <w:r w:rsidR="005060D8">
              <w:rPr>
                <w:lang w:val="de-DE"/>
              </w:rPr>
              <w:t>Comparatives</w:t>
            </w:r>
            <w:proofErr w:type="spellEnd"/>
            <w:r w:rsidR="005060D8">
              <w:rPr>
                <w:lang w:val="de-DE"/>
              </w:rPr>
              <w:t xml:space="preserve"> and </w:t>
            </w:r>
            <w:proofErr w:type="spellStart"/>
            <w:r w:rsidR="005060D8">
              <w:rPr>
                <w:lang w:val="de-DE"/>
              </w:rPr>
              <w:t>superlatives</w:t>
            </w:r>
            <w:proofErr w:type="spellEnd"/>
            <w:r w:rsidR="005060D8">
              <w:rPr>
                <w:lang w:val="de-DE"/>
              </w:rPr>
              <w:t>“</w:t>
            </w:r>
          </w:p>
        </w:tc>
        <w:tc>
          <w:tcPr>
            <w:tcW w:w="2149" w:type="dxa"/>
          </w:tcPr>
          <w:p w14:paraId="7030BDD4" w14:textId="009695AC" w:rsidR="003C6886" w:rsidRPr="003364CD" w:rsidRDefault="007356CB" w:rsidP="007B3D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Vokabeln </w:t>
            </w:r>
            <w:r w:rsidR="00D46E12">
              <w:rPr>
                <w:lang w:val="de-DE"/>
              </w:rPr>
              <w:t>&amp;</w:t>
            </w:r>
            <w:r>
              <w:rPr>
                <w:lang w:val="de-DE"/>
              </w:rPr>
              <w:t xml:space="preserve"> Sprachverständnis werden </w:t>
            </w:r>
            <w:r w:rsidR="00D46E12">
              <w:rPr>
                <w:lang w:val="de-DE"/>
              </w:rPr>
              <w:t xml:space="preserve">dabei automatisch </w:t>
            </w:r>
            <w:r>
              <w:rPr>
                <w:lang w:val="de-DE"/>
              </w:rPr>
              <w:t>wiederholt</w:t>
            </w:r>
          </w:p>
        </w:tc>
      </w:tr>
      <w:tr w:rsidR="00C1334C" w:rsidRPr="00BB5A8B" w14:paraId="048B3BDF" w14:textId="77777777" w:rsidTr="00357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44109719" w14:textId="7D0EC0D8" w:rsidR="003C6886" w:rsidRPr="003364CD" w:rsidRDefault="00E478CA" w:rsidP="007B3D44">
            <w:pPr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  <w:tc>
          <w:tcPr>
            <w:tcW w:w="3399" w:type="dxa"/>
          </w:tcPr>
          <w:p w14:paraId="4B817711" w14:textId="5C0A47D8" w:rsidR="003C6886" w:rsidRPr="003364CD" w:rsidRDefault="00E478CA" w:rsidP="007B3D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proofErr w:type="gramStart"/>
            <w:r w:rsidRPr="003364CD">
              <w:rPr>
                <w:lang w:val="de-DE"/>
              </w:rPr>
              <w:t xml:space="preserve">WH </w:t>
            </w:r>
            <w:r>
              <w:rPr>
                <w:lang w:val="de-DE"/>
              </w:rPr>
              <w:t>Ungleichungen</w:t>
            </w:r>
            <w:proofErr w:type="gramEnd"/>
            <w:r w:rsidRPr="003364CD">
              <w:rPr>
                <w:lang w:val="de-DE"/>
              </w:rPr>
              <w:t xml:space="preserve">: </w:t>
            </w:r>
            <w:r>
              <w:rPr>
                <w:lang w:val="de-DE"/>
              </w:rPr>
              <w:t xml:space="preserve">Kurze mündliche Aktivierung </w:t>
            </w:r>
            <w:proofErr w:type="gramStart"/>
            <w:r>
              <w:rPr>
                <w:lang w:val="de-DE"/>
              </w:rPr>
              <w:t>(Erinnerung)</w:t>
            </w:r>
            <w:proofErr w:type="gramEnd"/>
            <w:r>
              <w:rPr>
                <w:lang w:val="de-DE"/>
              </w:rPr>
              <w:t xml:space="preserve"> was </w:t>
            </w:r>
            <w:r w:rsidR="00E679DF">
              <w:rPr>
                <w:lang w:val="de-DE"/>
              </w:rPr>
              <w:t>Ungleichungen</w:t>
            </w:r>
            <w:r>
              <w:rPr>
                <w:lang w:val="de-DE"/>
              </w:rPr>
              <w:t xml:space="preserve"> sind</w:t>
            </w:r>
            <w:r w:rsidR="00E679DF">
              <w:rPr>
                <w:lang w:val="de-DE"/>
              </w:rPr>
              <w:t xml:space="preserve"> und wie man sie lösen kann.</w:t>
            </w:r>
            <w:r w:rsidR="008C1998">
              <w:rPr>
                <w:lang w:val="de-DE"/>
              </w:rPr>
              <w:t xml:space="preserve"> Dabei werden wenige Beispielaufgaben </w:t>
            </w:r>
            <w:r w:rsidR="00C1334C">
              <w:rPr>
                <w:lang w:val="de-DE"/>
              </w:rPr>
              <w:t xml:space="preserve">(von Lehrkraft </w:t>
            </w:r>
            <w:r w:rsidR="00B605E3">
              <w:rPr>
                <w:lang w:val="de-DE"/>
              </w:rPr>
              <w:t xml:space="preserve">(kurz L) </w:t>
            </w:r>
            <w:r w:rsidR="00C1334C">
              <w:rPr>
                <w:lang w:val="de-DE"/>
              </w:rPr>
              <w:t xml:space="preserve">angegeben) </w:t>
            </w:r>
            <w:r w:rsidR="008C1998">
              <w:rPr>
                <w:lang w:val="de-DE"/>
              </w:rPr>
              <w:t>gemeinsam gelöst.</w:t>
            </w:r>
          </w:p>
        </w:tc>
        <w:tc>
          <w:tcPr>
            <w:tcW w:w="999" w:type="dxa"/>
          </w:tcPr>
          <w:p w14:paraId="40C1B0FA" w14:textId="5BE9D7FA" w:rsidR="003C6886" w:rsidRPr="003364CD" w:rsidRDefault="00A006DA" w:rsidP="007B3D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L-S</w:t>
            </w:r>
          </w:p>
        </w:tc>
        <w:tc>
          <w:tcPr>
            <w:tcW w:w="1762" w:type="dxa"/>
          </w:tcPr>
          <w:p w14:paraId="61AF2C94" w14:textId="4C9ECA53" w:rsidR="003C6886" w:rsidRPr="003364CD" w:rsidRDefault="00E679DF" w:rsidP="007B3D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Whiteboard</w:t>
            </w:r>
            <w:r w:rsidR="00A006DA">
              <w:rPr>
                <w:lang w:val="de-DE"/>
              </w:rPr>
              <w:t>, (Handout „</w:t>
            </w:r>
            <w:proofErr w:type="spellStart"/>
            <w:r w:rsidR="00A006DA">
              <w:rPr>
                <w:lang w:val="de-DE"/>
              </w:rPr>
              <w:t>Inequalities</w:t>
            </w:r>
            <w:proofErr w:type="spellEnd"/>
            <w:r w:rsidR="00A006DA">
              <w:rPr>
                <w:lang w:val="de-DE"/>
              </w:rPr>
              <w:t>“)</w:t>
            </w:r>
          </w:p>
        </w:tc>
        <w:tc>
          <w:tcPr>
            <w:tcW w:w="2149" w:type="dxa"/>
          </w:tcPr>
          <w:p w14:paraId="184E07BA" w14:textId="5655D26E" w:rsidR="003C6886" w:rsidRPr="003364CD" w:rsidRDefault="00C535D5" w:rsidP="007B3D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a</w:t>
            </w:r>
            <w:r w:rsidR="00B16973">
              <w:rPr>
                <w:lang w:val="de-DE"/>
              </w:rPr>
              <w:t xml:space="preserve">ls Beispielaufgaben dienen die Aufgaben </w:t>
            </w:r>
            <w:r w:rsidR="00FC65AC">
              <w:rPr>
                <w:lang w:val="de-DE"/>
              </w:rPr>
              <w:t>1a-c</w:t>
            </w:r>
            <w:r w:rsidR="00BF4350">
              <w:rPr>
                <w:lang w:val="de-DE"/>
              </w:rPr>
              <w:t xml:space="preserve"> (S. 202)</w:t>
            </w:r>
          </w:p>
        </w:tc>
      </w:tr>
      <w:tr w:rsidR="00C1334C" w:rsidRPr="00BB5A8B" w14:paraId="6E1D2127" w14:textId="77777777" w:rsidTr="00357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2F9DC518" w14:textId="1F1B27F0" w:rsidR="003C6886" w:rsidRPr="003364CD" w:rsidRDefault="00C1661C" w:rsidP="007B3D44">
            <w:pPr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>15</w:t>
            </w:r>
          </w:p>
        </w:tc>
        <w:tc>
          <w:tcPr>
            <w:tcW w:w="3399" w:type="dxa"/>
          </w:tcPr>
          <w:p w14:paraId="529F0727" w14:textId="0E3F0918" w:rsidR="003C6886" w:rsidRPr="005166BE" w:rsidRDefault="00E478CA" w:rsidP="007B3D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AT"/>
              </w:rPr>
            </w:pPr>
            <w:r>
              <w:rPr>
                <w:lang w:val="de-DE"/>
              </w:rPr>
              <w:t xml:space="preserve">Einführung „Vergleiche“ in Mathematik = </w:t>
            </w:r>
            <w:r>
              <w:rPr>
                <w:lang w:val="de-DE"/>
              </w:rPr>
              <w:lastRenderedPageBreak/>
              <w:t>Ungleichungen:</w:t>
            </w:r>
            <w:r w:rsidR="007D23AF">
              <w:rPr>
                <w:lang w:val="de-DE"/>
              </w:rPr>
              <w:t xml:space="preserve"> </w:t>
            </w:r>
            <w:r w:rsidR="005D0A19">
              <w:rPr>
                <w:lang w:val="de-DE"/>
              </w:rPr>
              <w:t>L verwendet die gelösten Beispielaufgaben und „übersetzt“ sie in englische Sätze (</w:t>
            </w:r>
            <w:proofErr w:type="spellStart"/>
            <w:r w:rsidR="005D0A19">
              <w:rPr>
                <w:lang w:val="de-DE"/>
              </w:rPr>
              <w:t>zB</w:t>
            </w:r>
            <w:proofErr w:type="spellEnd"/>
            <w:r w:rsidR="005D0A19">
              <w:rPr>
                <w:lang w:val="de-DE"/>
              </w:rPr>
              <w:t xml:space="preserve"> </w:t>
            </w:r>
            <w:r w:rsidR="00616771">
              <w:rPr>
                <w:lang w:val="de-DE"/>
              </w:rPr>
              <w:t>6x+7&lt;37 – „</w:t>
            </w:r>
            <w:proofErr w:type="spellStart"/>
            <w:r w:rsidR="007820C4">
              <w:rPr>
                <w:lang w:val="de-DE"/>
              </w:rPr>
              <w:t>Watching</w:t>
            </w:r>
            <w:proofErr w:type="spellEnd"/>
            <w:r w:rsidR="007820C4">
              <w:rPr>
                <w:lang w:val="de-DE"/>
              </w:rPr>
              <w:t xml:space="preserve"> a </w:t>
            </w:r>
            <w:proofErr w:type="spellStart"/>
            <w:r w:rsidR="007820C4">
              <w:rPr>
                <w:lang w:val="de-DE"/>
              </w:rPr>
              <w:t>given</w:t>
            </w:r>
            <w:proofErr w:type="spellEnd"/>
            <w:r w:rsidR="007820C4">
              <w:rPr>
                <w:lang w:val="de-DE"/>
              </w:rPr>
              <w:t xml:space="preserve"> </w:t>
            </w:r>
            <w:proofErr w:type="spellStart"/>
            <w:r w:rsidR="007820C4">
              <w:rPr>
                <w:lang w:val="de-DE"/>
              </w:rPr>
              <w:t>film</w:t>
            </w:r>
            <w:proofErr w:type="spellEnd"/>
            <w:r w:rsidR="007820C4">
              <w:rPr>
                <w:lang w:val="de-DE"/>
              </w:rPr>
              <w:t xml:space="preserve"> </w:t>
            </w:r>
            <w:r w:rsidR="006F2F92">
              <w:rPr>
                <w:lang w:val="de-DE"/>
              </w:rPr>
              <w:t xml:space="preserve">6 </w:t>
            </w:r>
            <w:proofErr w:type="spellStart"/>
            <w:r w:rsidR="006F2F92">
              <w:rPr>
                <w:lang w:val="de-DE"/>
              </w:rPr>
              <w:t>times</w:t>
            </w:r>
            <w:proofErr w:type="spellEnd"/>
            <w:r w:rsidR="006F2F92">
              <w:rPr>
                <w:lang w:val="de-DE"/>
              </w:rPr>
              <w:t xml:space="preserve"> and </w:t>
            </w:r>
            <w:proofErr w:type="spellStart"/>
            <w:r w:rsidR="006F2F92">
              <w:rPr>
                <w:lang w:val="de-DE"/>
              </w:rPr>
              <w:t>adding</w:t>
            </w:r>
            <w:proofErr w:type="spellEnd"/>
            <w:r w:rsidR="006F2F92">
              <w:rPr>
                <w:lang w:val="de-DE"/>
              </w:rPr>
              <w:t xml:space="preserve"> 7 </w:t>
            </w:r>
            <w:proofErr w:type="spellStart"/>
            <w:r w:rsidR="006F2F92">
              <w:rPr>
                <w:lang w:val="de-DE"/>
              </w:rPr>
              <w:t>hours</w:t>
            </w:r>
            <w:proofErr w:type="spellEnd"/>
            <w:r w:rsidR="006F2F92">
              <w:rPr>
                <w:lang w:val="de-DE"/>
              </w:rPr>
              <w:t xml:space="preserve"> </w:t>
            </w:r>
            <w:proofErr w:type="spellStart"/>
            <w:r w:rsidR="006F2F92">
              <w:rPr>
                <w:lang w:val="de-DE"/>
              </w:rPr>
              <w:t>takes</w:t>
            </w:r>
            <w:proofErr w:type="spellEnd"/>
            <w:r w:rsidR="006F2F92">
              <w:rPr>
                <w:lang w:val="de-DE"/>
              </w:rPr>
              <w:t xml:space="preserve"> </w:t>
            </w:r>
            <w:proofErr w:type="spellStart"/>
            <w:r w:rsidR="006F2F92">
              <w:rPr>
                <w:lang w:val="de-DE"/>
              </w:rPr>
              <w:t>less</w:t>
            </w:r>
            <w:proofErr w:type="spellEnd"/>
            <w:r w:rsidR="006F2F92">
              <w:rPr>
                <w:lang w:val="de-DE"/>
              </w:rPr>
              <w:t xml:space="preserve"> </w:t>
            </w:r>
            <w:proofErr w:type="spellStart"/>
            <w:r w:rsidR="006F2F92">
              <w:rPr>
                <w:lang w:val="de-DE"/>
              </w:rPr>
              <w:t>than</w:t>
            </w:r>
            <w:proofErr w:type="spellEnd"/>
            <w:r w:rsidR="006F2F92">
              <w:rPr>
                <w:lang w:val="de-DE"/>
              </w:rPr>
              <w:t xml:space="preserve"> 37 </w:t>
            </w:r>
            <w:proofErr w:type="spellStart"/>
            <w:r w:rsidR="006F2F92">
              <w:rPr>
                <w:lang w:val="de-DE"/>
              </w:rPr>
              <w:t>hours</w:t>
            </w:r>
            <w:proofErr w:type="spellEnd"/>
            <w:r w:rsidR="00833A3E">
              <w:rPr>
                <w:lang w:val="de-DE"/>
              </w:rPr>
              <w:t xml:space="preserve">.“) </w:t>
            </w:r>
            <w:proofErr w:type="spellStart"/>
            <w:r w:rsidR="00833A3E">
              <w:rPr>
                <w:lang w:val="de-DE"/>
              </w:rPr>
              <w:t>SuS</w:t>
            </w:r>
            <w:proofErr w:type="spellEnd"/>
            <w:r w:rsidR="00833A3E">
              <w:rPr>
                <w:lang w:val="de-DE"/>
              </w:rPr>
              <w:t xml:space="preserve"> sollen </w:t>
            </w:r>
            <w:r w:rsidR="00785038">
              <w:rPr>
                <w:lang w:val="de-DE"/>
              </w:rPr>
              <w:t xml:space="preserve">gleiches mit allen Ungleichungen machen (auch mehrere Sätze für die gleiche Ungleichung). </w:t>
            </w:r>
          </w:p>
        </w:tc>
        <w:tc>
          <w:tcPr>
            <w:tcW w:w="999" w:type="dxa"/>
          </w:tcPr>
          <w:p w14:paraId="39E2506A" w14:textId="01CB6BB1" w:rsidR="003C6886" w:rsidRPr="003364CD" w:rsidRDefault="00654930" w:rsidP="007B3D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lastRenderedPageBreak/>
              <w:t>L-S</w:t>
            </w:r>
          </w:p>
        </w:tc>
        <w:tc>
          <w:tcPr>
            <w:tcW w:w="1762" w:type="dxa"/>
          </w:tcPr>
          <w:p w14:paraId="3A33C5E7" w14:textId="57F9ED95" w:rsidR="003C6886" w:rsidRPr="003364CD" w:rsidRDefault="00817BB3" w:rsidP="007B3D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Whiteboard</w:t>
            </w:r>
          </w:p>
        </w:tc>
        <w:tc>
          <w:tcPr>
            <w:tcW w:w="2149" w:type="dxa"/>
          </w:tcPr>
          <w:p w14:paraId="680ECA3E" w14:textId="77777777" w:rsidR="003C6886" w:rsidRPr="00BB5A8B" w:rsidRDefault="00286D61" w:rsidP="007B3D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5A8B">
              <w:t>&gt;</w:t>
            </w:r>
            <w:r w:rsidR="00CB279D" w:rsidRPr="00BB5A8B">
              <w:t xml:space="preserve"> … greater than</w:t>
            </w:r>
          </w:p>
          <w:p w14:paraId="5C7C2178" w14:textId="77777777" w:rsidR="00CB279D" w:rsidRDefault="00AB6A70" w:rsidP="007B3D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de-DE"/>
              </w:rPr>
              <w:lastRenderedPageBreak/>
              <w:sym w:font="Symbol" w:char="F0B3"/>
            </w:r>
            <w:r w:rsidRPr="00AB6A70">
              <w:t xml:space="preserve"> … </w:t>
            </w:r>
            <w:proofErr w:type="spellStart"/>
            <w:r w:rsidRPr="00AB6A70">
              <w:t>gretater</w:t>
            </w:r>
            <w:proofErr w:type="spellEnd"/>
            <w:r w:rsidRPr="00AB6A70">
              <w:t xml:space="preserve"> </w:t>
            </w:r>
            <w:proofErr w:type="spellStart"/>
            <w:r w:rsidRPr="00AB6A70">
              <w:t>tan</w:t>
            </w:r>
            <w:proofErr w:type="spellEnd"/>
            <w:r w:rsidRPr="00AB6A70">
              <w:t xml:space="preserve"> or equal t</w:t>
            </w:r>
            <w:r>
              <w:t>o</w:t>
            </w:r>
          </w:p>
          <w:p w14:paraId="01198EAD" w14:textId="77777777" w:rsidR="00AB6A70" w:rsidRDefault="00AB6A70" w:rsidP="007B3D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&lt; … less than</w:t>
            </w:r>
          </w:p>
          <w:p w14:paraId="00AA1127" w14:textId="77777777" w:rsidR="00AB6A70" w:rsidRDefault="00AB6A70" w:rsidP="007B3D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Symbol" w:char="F0A3"/>
            </w:r>
            <w:r>
              <w:t xml:space="preserve"> … less than or equal to</w:t>
            </w:r>
          </w:p>
          <w:p w14:paraId="6F3C0F20" w14:textId="496918E6" w:rsidR="00B80D93" w:rsidRPr="00B80D93" w:rsidRDefault="00B80D93" w:rsidP="007B3D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B80D93">
              <w:rPr>
                <w:lang w:val="de-DE"/>
              </w:rPr>
              <w:t xml:space="preserve">Diese “Vokabeln werden </w:t>
            </w:r>
            <w:proofErr w:type="spellStart"/>
            <w:r w:rsidRPr="00B80D93">
              <w:rPr>
                <w:lang w:val="de-DE"/>
              </w:rPr>
              <w:t>SuS</w:t>
            </w:r>
            <w:proofErr w:type="spellEnd"/>
            <w:r w:rsidRPr="00B80D93">
              <w:rPr>
                <w:lang w:val="de-DE"/>
              </w:rPr>
              <w:t xml:space="preserve"> ge</w:t>
            </w:r>
            <w:r>
              <w:rPr>
                <w:lang w:val="de-DE"/>
              </w:rPr>
              <w:t xml:space="preserve">geben. Sie werden aber ermutigt, auch andere Vokabeln zu verwenden, </w:t>
            </w:r>
            <w:proofErr w:type="spellStart"/>
            <w:r>
              <w:rPr>
                <w:lang w:val="de-DE"/>
              </w:rPr>
              <w:t>zB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taller</w:t>
            </w:r>
            <w:proofErr w:type="spellEnd"/>
            <w:r>
              <w:rPr>
                <w:lang w:val="de-DE"/>
              </w:rPr>
              <w:t>/</w:t>
            </w:r>
            <w:proofErr w:type="spellStart"/>
            <w:r>
              <w:rPr>
                <w:lang w:val="de-DE"/>
              </w:rPr>
              <w:t>shorter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than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younger</w:t>
            </w:r>
            <w:proofErr w:type="spellEnd"/>
            <w:r>
              <w:rPr>
                <w:lang w:val="de-DE"/>
              </w:rPr>
              <w:t>/</w:t>
            </w:r>
            <w:proofErr w:type="spellStart"/>
            <w:r>
              <w:rPr>
                <w:lang w:val="de-DE"/>
              </w:rPr>
              <w:t>older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than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the</w:t>
            </w:r>
            <w:proofErr w:type="spellEnd"/>
            <w:r>
              <w:rPr>
                <w:lang w:val="de-DE"/>
              </w:rPr>
              <w:t xml:space="preserve"> same </w:t>
            </w:r>
            <w:proofErr w:type="spellStart"/>
            <w:r>
              <w:rPr>
                <w:lang w:val="de-DE"/>
              </w:rPr>
              <w:t>price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as</w:t>
            </w:r>
            <w:proofErr w:type="spellEnd"/>
            <w:r>
              <w:rPr>
                <w:lang w:val="de-DE"/>
              </w:rPr>
              <w:t>.</w:t>
            </w:r>
          </w:p>
        </w:tc>
      </w:tr>
      <w:tr w:rsidR="00C1334C" w:rsidRPr="00BB5A8B" w14:paraId="2588A5A2" w14:textId="77777777" w:rsidTr="00357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32189843" w14:textId="462CAC6E" w:rsidR="003C6886" w:rsidRPr="003364CD" w:rsidRDefault="00C1661C" w:rsidP="007B3D44">
            <w:pPr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lastRenderedPageBreak/>
              <w:t>15</w:t>
            </w:r>
          </w:p>
        </w:tc>
        <w:tc>
          <w:tcPr>
            <w:tcW w:w="3399" w:type="dxa"/>
          </w:tcPr>
          <w:p w14:paraId="74961DAD" w14:textId="34B92650" w:rsidR="003C6886" w:rsidRPr="003364CD" w:rsidRDefault="00962392" w:rsidP="007B3D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>
              <w:rPr>
                <w:lang w:val="de-DE"/>
              </w:rPr>
              <w:t>SuS</w:t>
            </w:r>
            <w:proofErr w:type="spellEnd"/>
            <w:r>
              <w:rPr>
                <w:lang w:val="de-DE"/>
              </w:rPr>
              <w:t xml:space="preserve"> erstellen eigene Ungleichungen</w:t>
            </w:r>
            <w:r w:rsidR="000C5980">
              <w:rPr>
                <w:lang w:val="de-DE"/>
              </w:rPr>
              <w:t xml:space="preserve">, die </w:t>
            </w:r>
            <w:r w:rsidR="00040C30">
              <w:rPr>
                <w:lang w:val="de-DE"/>
              </w:rPr>
              <w:t xml:space="preserve">im Anschluss </w:t>
            </w:r>
            <w:r w:rsidR="000C5980">
              <w:rPr>
                <w:lang w:val="de-DE"/>
              </w:rPr>
              <w:t xml:space="preserve">von anderen </w:t>
            </w:r>
            <w:proofErr w:type="spellStart"/>
            <w:r w:rsidR="000C5980">
              <w:rPr>
                <w:lang w:val="de-DE"/>
              </w:rPr>
              <w:t>SuS</w:t>
            </w:r>
            <w:proofErr w:type="spellEnd"/>
            <w:r w:rsidR="000C5980">
              <w:rPr>
                <w:lang w:val="de-DE"/>
              </w:rPr>
              <w:t xml:space="preserve"> „übersetzt“ werden müssen. </w:t>
            </w:r>
          </w:p>
        </w:tc>
        <w:tc>
          <w:tcPr>
            <w:tcW w:w="999" w:type="dxa"/>
          </w:tcPr>
          <w:p w14:paraId="3DFD5FCC" w14:textId="384698AC" w:rsidR="003C6886" w:rsidRPr="003364CD" w:rsidRDefault="00525474" w:rsidP="007B3D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S2-S4</w:t>
            </w:r>
          </w:p>
        </w:tc>
        <w:tc>
          <w:tcPr>
            <w:tcW w:w="1762" w:type="dxa"/>
          </w:tcPr>
          <w:p w14:paraId="3C50E8CE" w14:textId="21B48692" w:rsidR="003C6886" w:rsidRPr="003364CD" w:rsidRDefault="003C6886" w:rsidP="007B3D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149" w:type="dxa"/>
          </w:tcPr>
          <w:p w14:paraId="06FFFC8F" w14:textId="25069A93" w:rsidR="003C6886" w:rsidRPr="003364CD" w:rsidRDefault="00C1661C" w:rsidP="007B3D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>
              <w:rPr>
                <w:lang w:val="de-DE"/>
              </w:rPr>
              <w:t>SuS</w:t>
            </w:r>
            <w:proofErr w:type="spellEnd"/>
            <w:r>
              <w:rPr>
                <w:lang w:val="de-DE"/>
              </w:rPr>
              <w:t xml:space="preserve"> sollen verschiedene Ungleich</w:t>
            </w:r>
            <w:r w:rsidR="00182499">
              <w:rPr>
                <w:lang w:val="de-DE"/>
              </w:rPr>
              <w:t>h</w:t>
            </w:r>
            <w:r>
              <w:rPr>
                <w:lang w:val="de-DE"/>
              </w:rPr>
              <w:t>eitszeichen un</w:t>
            </w:r>
            <w:r w:rsidR="00182499">
              <w:rPr>
                <w:lang w:val="de-DE"/>
              </w:rPr>
              <w:t>d möglichst viele verschiedene Adjektive verwenden</w:t>
            </w:r>
          </w:p>
        </w:tc>
      </w:tr>
      <w:tr w:rsidR="00D239BF" w:rsidRPr="00BB5A8B" w14:paraId="1BCFB409" w14:textId="77777777" w:rsidTr="00357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5A325DCC" w14:textId="0A3A795E" w:rsidR="00D239BF" w:rsidRDefault="00D239BF" w:rsidP="007B3D44">
            <w:pPr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3399" w:type="dxa"/>
          </w:tcPr>
          <w:p w14:paraId="59453BD7" w14:textId="0306380C" w:rsidR="00D239BF" w:rsidRDefault="00D239BF" w:rsidP="007B3D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Sammlung der Ergebnisse</w:t>
            </w:r>
            <w:r w:rsidR="004925FC">
              <w:rPr>
                <w:lang w:val="de-DE"/>
              </w:rPr>
              <w:t xml:space="preserve"> auf einem Plakat</w:t>
            </w:r>
          </w:p>
        </w:tc>
        <w:tc>
          <w:tcPr>
            <w:tcW w:w="999" w:type="dxa"/>
          </w:tcPr>
          <w:p w14:paraId="5015940D" w14:textId="5F87B7F6" w:rsidR="00D239BF" w:rsidRDefault="004925FC" w:rsidP="007B3D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S2</w:t>
            </w:r>
          </w:p>
        </w:tc>
        <w:tc>
          <w:tcPr>
            <w:tcW w:w="1762" w:type="dxa"/>
          </w:tcPr>
          <w:p w14:paraId="66DD949B" w14:textId="35DD2D76" w:rsidR="00D239BF" w:rsidRPr="003364CD" w:rsidRDefault="004925FC" w:rsidP="007B3D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Plakat</w:t>
            </w:r>
          </w:p>
        </w:tc>
        <w:tc>
          <w:tcPr>
            <w:tcW w:w="2149" w:type="dxa"/>
          </w:tcPr>
          <w:p w14:paraId="5D9AEF00" w14:textId="682421BC" w:rsidR="00D239BF" w:rsidRDefault="004925FC" w:rsidP="007B3D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Plakat </w:t>
            </w:r>
            <w:r w:rsidR="00B0404F">
              <w:rPr>
                <w:lang w:val="de-DE"/>
              </w:rPr>
              <w:t>wird im Klassenzimmer aufgehängt</w:t>
            </w:r>
          </w:p>
        </w:tc>
      </w:tr>
    </w:tbl>
    <w:p w14:paraId="1B3A5F32" w14:textId="77777777" w:rsidR="00047551" w:rsidRPr="003364CD" w:rsidRDefault="00047551">
      <w:pPr>
        <w:rPr>
          <w:lang w:val="de-DE"/>
        </w:rPr>
      </w:pPr>
    </w:p>
    <w:p w14:paraId="02852189" w14:textId="77777777" w:rsidR="00442C90" w:rsidRPr="003364CD" w:rsidRDefault="00442C90">
      <w:pPr>
        <w:rPr>
          <w:lang w:val="de-DE"/>
        </w:rPr>
      </w:pPr>
    </w:p>
    <w:p w14:paraId="534043D8" w14:textId="1C10C0CC" w:rsidR="00E94869" w:rsidRPr="003F1605" w:rsidRDefault="00436D64">
      <w:pPr>
        <w:rPr>
          <w:b/>
          <w:bCs/>
          <w:u w:val="single"/>
          <w:lang w:val="de-AT"/>
        </w:rPr>
      </w:pPr>
      <w:proofErr w:type="gramStart"/>
      <w:r w:rsidRPr="003F1605">
        <w:rPr>
          <w:b/>
          <w:bCs/>
          <w:u w:val="single"/>
          <w:lang w:val="de-AT"/>
        </w:rPr>
        <w:t>Bibliogr</w:t>
      </w:r>
      <w:r w:rsidR="003F1605" w:rsidRPr="003F1605">
        <w:rPr>
          <w:b/>
          <w:bCs/>
          <w:u w:val="single"/>
          <w:lang w:val="de-AT"/>
        </w:rPr>
        <w:t>aph</w:t>
      </w:r>
      <w:r w:rsidR="003B5CC0">
        <w:rPr>
          <w:b/>
          <w:bCs/>
          <w:u w:val="single"/>
          <w:lang w:val="de-AT"/>
        </w:rPr>
        <w:t>ie</w:t>
      </w:r>
      <w:proofErr w:type="gramEnd"/>
      <w:r w:rsidR="003F1605" w:rsidRPr="003F1605">
        <w:rPr>
          <w:b/>
          <w:bCs/>
          <w:u w:val="single"/>
          <w:lang w:val="de-AT"/>
        </w:rPr>
        <w:t>:</w:t>
      </w:r>
    </w:p>
    <w:p w14:paraId="14D783A1" w14:textId="353EBD2D" w:rsidR="004B425E" w:rsidRDefault="001C4433" w:rsidP="000D081A">
      <w:pPr>
        <w:ind w:left="426" w:hanging="426"/>
      </w:pPr>
      <w:r w:rsidRPr="00E5592E">
        <w:t>British Council</w:t>
      </w:r>
      <w:r w:rsidR="00E5592E">
        <w:t>. 2017. “</w:t>
      </w:r>
      <w:r w:rsidR="00977D91">
        <w:t>Comparatives and superlatives”.</w:t>
      </w:r>
      <w:r w:rsidR="000D081A">
        <w:t xml:space="preserve"> </w:t>
      </w:r>
      <w:r w:rsidR="00E63C69" w:rsidRPr="00E63C69">
        <w:t>https://learnenglishkids.britishcouncil.org/sites/kids/files/attachment/grammar-practice-comparatives-and-superlatives-worksheet.pdf (</w:t>
      </w:r>
      <w:r w:rsidR="00E46BF7">
        <w:t xml:space="preserve">18. </w:t>
      </w:r>
      <w:r w:rsidR="00E63C69">
        <w:t>Jun</w:t>
      </w:r>
      <w:r w:rsidR="00E46BF7">
        <w:t>i</w:t>
      </w:r>
      <w:r w:rsidR="00E63C69">
        <w:t xml:space="preserve"> 2025)</w:t>
      </w:r>
    </w:p>
    <w:p w14:paraId="7C40A45B" w14:textId="69F4CD48" w:rsidR="00D934FC" w:rsidRPr="00E5592E" w:rsidRDefault="00D934FC" w:rsidP="000D081A">
      <w:pPr>
        <w:ind w:left="426" w:hanging="426"/>
      </w:pPr>
      <w:r>
        <w:t>Centre for Innovation in Mathematics Teaching</w:t>
      </w:r>
      <w:r w:rsidR="0023139F">
        <w:t xml:space="preserve">. </w:t>
      </w:r>
      <w:r w:rsidR="00765431">
        <w:t>n.d. “Inequalities”</w:t>
      </w:r>
      <w:r w:rsidR="009428DE">
        <w:t xml:space="preserve">. </w:t>
      </w:r>
      <w:r w:rsidR="00253488" w:rsidRPr="00253488">
        <w:t>https://www.cimt.org.uk/projects/mepres/allgcse/bkc16.pdf</w:t>
      </w:r>
      <w:r w:rsidR="00253488">
        <w:t xml:space="preserve"> (</w:t>
      </w:r>
      <w:r w:rsidR="00E46BF7">
        <w:t xml:space="preserve">25. </w:t>
      </w:r>
      <w:r w:rsidR="00253488">
        <w:t>Jun</w:t>
      </w:r>
      <w:r w:rsidR="00E46BF7">
        <w:t>i 2025)</w:t>
      </w:r>
    </w:p>
    <w:sectPr w:rsidR="00D934FC" w:rsidRPr="00E55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69"/>
    <w:rsid w:val="00012745"/>
    <w:rsid w:val="00040C30"/>
    <w:rsid w:val="00047551"/>
    <w:rsid w:val="00052119"/>
    <w:rsid w:val="000A5627"/>
    <w:rsid w:val="000C5980"/>
    <w:rsid w:val="000D081A"/>
    <w:rsid w:val="000D27FF"/>
    <w:rsid w:val="000F3B79"/>
    <w:rsid w:val="001356EC"/>
    <w:rsid w:val="00147497"/>
    <w:rsid w:val="00163020"/>
    <w:rsid w:val="00173BCA"/>
    <w:rsid w:val="00175FEF"/>
    <w:rsid w:val="00182499"/>
    <w:rsid w:val="0019075F"/>
    <w:rsid w:val="001B5C76"/>
    <w:rsid w:val="001C42FC"/>
    <w:rsid w:val="001C4433"/>
    <w:rsid w:val="001D36CF"/>
    <w:rsid w:val="00230877"/>
    <w:rsid w:val="0023139F"/>
    <w:rsid w:val="00231726"/>
    <w:rsid w:val="00231771"/>
    <w:rsid w:val="00235494"/>
    <w:rsid w:val="00253488"/>
    <w:rsid w:val="002754D3"/>
    <w:rsid w:val="002829EC"/>
    <w:rsid w:val="00286D61"/>
    <w:rsid w:val="002F224F"/>
    <w:rsid w:val="00327C1F"/>
    <w:rsid w:val="003328A8"/>
    <w:rsid w:val="003364CD"/>
    <w:rsid w:val="00354578"/>
    <w:rsid w:val="0035735F"/>
    <w:rsid w:val="003856D9"/>
    <w:rsid w:val="003B5CC0"/>
    <w:rsid w:val="003B6654"/>
    <w:rsid w:val="003C34F4"/>
    <w:rsid w:val="003C6886"/>
    <w:rsid w:val="003D5429"/>
    <w:rsid w:val="003F1605"/>
    <w:rsid w:val="003F3902"/>
    <w:rsid w:val="003F54C3"/>
    <w:rsid w:val="00436D64"/>
    <w:rsid w:val="00442C90"/>
    <w:rsid w:val="004925FC"/>
    <w:rsid w:val="004B425E"/>
    <w:rsid w:val="004B6ED6"/>
    <w:rsid w:val="005060D8"/>
    <w:rsid w:val="005166BE"/>
    <w:rsid w:val="00525474"/>
    <w:rsid w:val="00556505"/>
    <w:rsid w:val="00556D98"/>
    <w:rsid w:val="00584FF1"/>
    <w:rsid w:val="005B0F65"/>
    <w:rsid w:val="005B28EB"/>
    <w:rsid w:val="005D0A19"/>
    <w:rsid w:val="005D2305"/>
    <w:rsid w:val="005E172B"/>
    <w:rsid w:val="00603414"/>
    <w:rsid w:val="00616771"/>
    <w:rsid w:val="00621A61"/>
    <w:rsid w:val="0062369D"/>
    <w:rsid w:val="0064687F"/>
    <w:rsid w:val="00653777"/>
    <w:rsid w:val="00654930"/>
    <w:rsid w:val="006A5D74"/>
    <w:rsid w:val="006F2F92"/>
    <w:rsid w:val="00714146"/>
    <w:rsid w:val="007206FE"/>
    <w:rsid w:val="007356CB"/>
    <w:rsid w:val="007617A2"/>
    <w:rsid w:val="00765431"/>
    <w:rsid w:val="00781FCB"/>
    <w:rsid w:val="007820C4"/>
    <w:rsid w:val="00785038"/>
    <w:rsid w:val="007C5145"/>
    <w:rsid w:val="007D20BB"/>
    <w:rsid w:val="007D23AF"/>
    <w:rsid w:val="007E4FC9"/>
    <w:rsid w:val="00817BB3"/>
    <w:rsid w:val="00830BAF"/>
    <w:rsid w:val="00833A3E"/>
    <w:rsid w:val="00834843"/>
    <w:rsid w:val="00857141"/>
    <w:rsid w:val="008B1156"/>
    <w:rsid w:val="008C1998"/>
    <w:rsid w:val="009332DC"/>
    <w:rsid w:val="009428DE"/>
    <w:rsid w:val="00944E94"/>
    <w:rsid w:val="00962392"/>
    <w:rsid w:val="00974F69"/>
    <w:rsid w:val="00977D91"/>
    <w:rsid w:val="00987102"/>
    <w:rsid w:val="009C3235"/>
    <w:rsid w:val="00A006DA"/>
    <w:rsid w:val="00A57F26"/>
    <w:rsid w:val="00A64E37"/>
    <w:rsid w:val="00A75402"/>
    <w:rsid w:val="00A85F75"/>
    <w:rsid w:val="00AB6A70"/>
    <w:rsid w:val="00AD6436"/>
    <w:rsid w:val="00B0404F"/>
    <w:rsid w:val="00B16973"/>
    <w:rsid w:val="00B23F28"/>
    <w:rsid w:val="00B37D3E"/>
    <w:rsid w:val="00B605E3"/>
    <w:rsid w:val="00B80D93"/>
    <w:rsid w:val="00BB5A8B"/>
    <w:rsid w:val="00BF0BE8"/>
    <w:rsid w:val="00BF4350"/>
    <w:rsid w:val="00C1334C"/>
    <w:rsid w:val="00C1661C"/>
    <w:rsid w:val="00C220A4"/>
    <w:rsid w:val="00C5099A"/>
    <w:rsid w:val="00C535D5"/>
    <w:rsid w:val="00CB279D"/>
    <w:rsid w:val="00CC080F"/>
    <w:rsid w:val="00CE0017"/>
    <w:rsid w:val="00CF2D16"/>
    <w:rsid w:val="00D04AA7"/>
    <w:rsid w:val="00D148B6"/>
    <w:rsid w:val="00D239BF"/>
    <w:rsid w:val="00D304E2"/>
    <w:rsid w:val="00D41D95"/>
    <w:rsid w:val="00D46E12"/>
    <w:rsid w:val="00D6047A"/>
    <w:rsid w:val="00D811B0"/>
    <w:rsid w:val="00D934FC"/>
    <w:rsid w:val="00DC07DE"/>
    <w:rsid w:val="00DC0F37"/>
    <w:rsid w:val="00DF22BB"/>
    <w:rsid w:val="00DF692D"/>
    <w:rsid w:val="00E44A5D"/>
    <w:rsid w:val="00E46BF7"/>
    <w:rsid w:val="00E478CA"/>
    <w:rsid w:val="00E47A32"/>
    <w:rsid w:val="00E503A3"/>
    <w:rsid w:val="00E55898"/>
    <w:rsid w:val="00E5592E"/>
    <w:rsid w:val="00E63C69"/>
    <w:rsid w:val="00E679DF"/>
    <w:rsid w:val="00E770B6"/>
    <w:rsid w:val="00E86873"/>
    <w:rsid w:val="00E94869"/>
    <w:rsid w:val="00EA4FF9"/>
    <w:rsid w:val="00EA6C82"/>
    <w:rsid w:val="00EB1E8A"/>
    <w:rsid w:val="00F0577A"/>
    <w:rsid w:val="00F30902"/>
    <w:rsid w:val="00F4514C"/>
    <w:rsid w:val="00F57377"/>
    <w:rsid w:val="00F65384"/>
    <w:rsid w:val="00FA730B"/>
    <w:rsid w:val="00FC65AC"/>
    <w:rsid w:val="00FD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1BF3E0"/>
  <w15:chartTrackingRefBased/>
  <w15:docId w15:val="{FC06E5F0-D32F-724A-BC7E-7DB3C880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948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94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948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948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948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948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948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948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948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948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948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48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9486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9486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9486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9486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9486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948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948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94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948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48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94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9486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9486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9486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948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9486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94869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047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3">
    <w:name w:val="Grid Table 4 Accent 3"/>
    <w:basedOn w:val="NormaleTabelle"/>
    <w:uiPriority w:val="49"/>
    <w:rsid w:val="00DF22BB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character" w:styleId="Hyperlink">
    <w:name w:val="Hyperlink"/>
    <w:basedOn w:val="Absatz-Standardschriftart"/>
    <w:uiPriority w:val="99"/>
    <w:unhideWhenUsed/>
    <w:rsid w:val="00DF22BB"/>
    <w:rPr>
      <w:color w:val="467886" w:themeColor="hyperlink"/>
      <w:u w:val="single"/>
    </w:rPr>
  </w:style>
  <w:style w:type="paragraph" w:customStyle="1" w:styleId="p1">
    <w:name w:val="p1"/>
    <w:basedOn w:val="Standard"/>
    <w:rsid w:val="00436D64"/>
    <w:pPr>
      <w:spacing w:after="0" w:line="240" w:lineRule="auto"/>
    </w:pPr>
    <w:rPr>
      <w:rFonts w:ascii="Arial" w:eastAsia="Times New Roman" w:hAnsi="Arial" w:cs="Arial"/>
      <w:color w:val="000000"/>
      <w:kern w:val="0"/>
      <w:sz w:val="17"/>
      <w:szCs w:val="17"/>
      <w:lang w:eastAsia="en-GB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77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 Eire</dc:creator>
  <cp:keywords/>
  <dc:description/>
  <cp:lastModifiedBy>Schöggl Stephanie</cp:lastModifiedBy>
  <cp:revision>2</cp:revision>
  <cp:lastPrinted>2025-06-25T14:52:00Z</cp:lastPrinted>
  <dcterms:created xsi:type="dcterms:W3CDTF">2025-06-27T18:23:00Z</dcterms:created>
  <dcterms:modified xsi:type="dcterms:W3CDTF">2025-06-27T18:23:00Z</dcterms:modified>
</cp:coreProperties>
</file>